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800"/>
        <w:jc w:val="center"/>
      </w:pPr>
      <w:r>
        <w:rPr>
          <w:rFonts w:ascii="Arial" w:cs="Arial" w:eastAsia="Arial" w:hAnsi="Arial"/>
          <w:b/>
          <w:bCs/>
          <w:color w:val="005A8E"/>
          <w:sz w:val="56"/>
          <w:szCs w:val="56"/>
        </w:rPr>
        <w:t xml:space="preserve">MEDNORD</w:t>
      </w:r>
    </w:p>
    <w:p>
      <w:pPr>
        <w:spacing w:after="100" w:before="0"/>
        <w:jc w:val="center"/>
      </w:pPr>
      <w:r>
        <w:rPr>
          <w:rFonts w:ascii="Arial" w:cs="Arial" w:eastAsia="Arial" w:hAnsi="Arial"/>
          <w:i/>
          <w:iCs/>
          <w:color w:val="666666"/>
          <w:sz w:val="28"/>
          <w:szCs w:val="28"/>
        </w:rPr>
        <w:t xml:space="preserve">Soluções integradas para segurança e controlo de risco em saúde</w:t>
      </w:r>
    </w:p>
    <w:p>
      <w:pPr>
        <w:spacing w:after="600" w:before="1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Documento de Estrutura e Copy — Website</w:t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1"/>
        <w:pBdr>
          <w:bottom w:val="single" w:color="005A8E" w:sz="8" w:space="6"/>
        </w:pBdr>
        <w:spacing w:after="160" w:before="400"/>
      </w:pPr>
      <w:r>
        <w:rPr>
          <w:rFonts w:ascii="Arial" w:cs="Arial" w:eastAsia="Arial" w:hAnsi="Arial"/>
          <w:b/>
          <w:bCs/>
          <w:color w:val="005A8E"/>
          <w:sz w:val="36"/>
          <w:szCs w:val="36"/>
        </w:rPr>
        <w:t xml:space="preserve">Índice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1. Menu e Estrutura de Navegação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2. Homepage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3. Quem Somos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4. Soluções e Produtos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   4.1 Desinfeção e Antissepsia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   4.2 Proteção Individual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   4.3 Incontinência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5. Conteúdos Técnicos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6. Contactos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7. Notas para Desenvolvimento</w:t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1"/>
        <w:pBdr>
          <w:bottom w:val="single" w:color="005A8E" w:sz="8" w:space="6"/>
        </w:pBdr>
        <w:spacing w:after="160" w:before="400"/>
      </w:pPr>
      <w:r>
        <w:rPr>
          <w:rFonts w:ascii="Arial" w:cs="Arial" w:eastAsia="Arial" w:hAnsi="Arial"/>
          <w:b/>
          <w:bCs/>
          <w:color w:val="005A8E"/>
          <w:sz w:val="36"/>
          <w:szCs w:val="36"/>
        </w:rPr>
        <w:t xml:space="preserve">1. Menu e Estrutura de Navegação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Menu horizontal fixo no topo. Simples, sem submenus complexos.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5A8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Início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5A8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Quem Somos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5A8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Soluções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5A8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Conteúdos Técnicos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005A8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Contactos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99999"/>
                <w:sz w:val="20"/>
                <w:szCs w:val="20"/>
              </w:rPr>
              <w:t xml:space="preserve"/>
            </w:r>
          </w:p>
        </w:tc>
      </w:tr>
    </w:tbl>
    <w:p>
      <w:pPr>
        <w:spacing w:after="80" w:before="80"/>
      </w:pPr>
      <w:r>
        <w:t xml:space="preserve"/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CTA fixo sempre visível no header: botão 'Pedir informação' em destaque.</w:t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1"/>
        <w:pBdr>
          <w:bottom w:val="single" w:color="005A8E" w:sz="8" w:space="6"/>
        </w:pBdr>
        <w:spacing w:after="160" w:before="400"/>
      </w:pPr>
      <w:r>
        <w:rPr>
          <w:rFonts w:ascii="Arial" w:cs="Arial" w:eastAsia="Arial" w:hAnsi="Arial"/>
          <w:b/>
          <w:bCs/>
          <w:color w:val="005A8E"/>
          <w:sz w:val="36"/>
          <w:szCs w:val="36"/>
        </w:rPr>
        <w:t xml:space="preserve">2. Homepage</w:t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2.1 Bloco Hero</w:t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HEADLINE PRINCIPAL</w:t>
      </w:r>
    </w:p>
    <w:p>
      <w:pPr>
        <w:shd w:fill="E8F4F8" w:val="clear"/>
        <w:spacing w:after="80" w:before="80"/>
      </w:pPr>
      <w:r>
        <w:rPr>
          <w:rFonts w:ascii="Arial" w:cs="Arial" w:eastAsia="Arial" w:hAnsi="Arial"/>
          <w:b/>
          <w:bCs/>
          <w:color w:val="005A8E"/>
          <w:sz w:val="28"/>
          <w:szCs w:val="28"/>
        </w:rPr>
        <w:t xml:space="preserve">Soluções integradas para segurança e controlo de risco em saúde</w:t>
      </w:r>
    </w:p>
    <w:p>
      <w:pPr>
        <w:spacing w:after="80" w:before="80"/>
      </w:pPr>
      <w:r>
        <w:t xml:space="preserve"/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SUBTÍTULO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Sistemas e produtos para controlo de infeção, desinfeção, proteção individual e segurança em ambientes clínicos — adaptados às exigências de hospitais, cuidados de saúde primários e estruturas residenciais.</w:t>
      </w:r>
    </w:p>
    <w:p>
      <w:pPr>
        <w:spacing w:after="80" w:before="80"/>
      </w:pPr>
      <w:r>
        <w:t xml:space="preserve"/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CTAs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</w:tblPr>
      <w:tblGrid>
        <w:gridCol w:w="4560"/>
        <w:gridCol w:w="4800"/>
      </w:tblGrid>
      <w:tr>
        <w:tc>
          <w:tcPr>
            <w:tcW w:type="dxa" w:w="45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200"/>
            </w:tcMar>
          </w:tcPr>
          <w:p>
            <w:pPr>
              <w:shd w:fill="00A3C4" w:val="clear"/>
              <w:spacing w:after="120" w:before="12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[ Fale connosco ]</w:t>
            </w:r>
          </w:p>
        </w:tc>
        <w:tc>
          <w:tcPr>
            <w:tcW w:type="dxa" w:w="4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200"/>
              <w:bottom w:type="dxa" w:w="80"/>
              <w:right w:type="dxa" w:w="0"/>
            </w:tcMar>
          </w:tcPr>
          <w:p>
            <w:pPr>
              <w:shd w:fill="00A3C4" w:val="clear"/>
              <w:spacing w:after="120" w:before="12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[ Pedir informação ]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Visual: imagem de fundo de ambiente clínico clean. Overlay escuro leve. Texto a branco.</w:t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2.2 Bloco Quem é a MedNord</w:t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TEXTO INTRODUTÓRIO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A MedNord é uma empresa especializada do grupo Nordhigiene, focada no controlo de infeção e na segurança em contextos de prestação de cuidados de saúde. Trabalhamos com unidades hospitalares, cuidados de saúde primários e estruturas residenciais, oferecendo soluções técnicas baseadas em evidência e adaptadas às necessidades específicas de cada contexto clínico.</w:t>
      </w:r>
    </w:p>
    <w:p>
      <w:pPr>
        <w:spacing w:after="80" w:before="80"/>
      </w:pPr>
      <w:r>
        <w:t xml:space="preserve"/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CTA SECUNDÁRIO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→ Saber mais sobre nós</w:t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2.3 Porque Escolher a MedNord (4 Diferenciais)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Layout: 4 colunas com ícone + título + texto. Fundo cinza claro.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sz w:val="36"/>
                <w:szCs w:val="36"/>
              </w:rPr>
              <w:t xml:space="preserve">🔬</w:t>
            </w:r>
          </w:p>
          <w:p>
            <w:pPr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005A8E"/>
                <w:sz w:val="20"/>
                <w:szCs w:val="20"/>
              </w:rPr>
              <w:t xml:space="preserve">Especialização em controlo de infeção</w:t>
            </w:r>
          </w:p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Foco exclusivo na prevenção da IACS e na segurança do doente.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sz w:val="36"/>
                <w:szCs w:val="36"/>
              </w:rPr>
              <w:t xml:space="preserve">📋</w:t>
            </w:r>
          </w:p>
          <w:p>
            <w:pPr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005A8E"/>
                <w:sz w:val="20"/>
                <w:szCs w:val="20"/>
              </w:rPr>
              <w:t xml:space="preserve">Abordagem baseada em evidência</w:t>
            </w:r>
          </w:p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Seleção de produtos com suporte científico e alinhados com boas práticas.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sz w:val="36"/>
                <w:szCs w:val="36"/>
              </w:rPr>
              <w:t xml:space="preserve">🏥</w:t>
            </w:r>
          </w:p>
          <w:p>
            <w:pPr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005A8E"/>
                <w:sz w:val="20"/>
                <w:szCs w:val="20"/>
              </w:rPr>
              <w:t xml:space="preserve">Soluções adaptadas ao contexto clínico</w:t>
            </w:r>
          </w:p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Resposta ajustada a hospitais, centros de saúde e estruturas residenciais.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sz w:val="36"/>
                <w:szCs w:val="36"/>
              </w:rPr>
              <w:t xml:space="preserve">🤝</w:t>
            </w:r>
          </w:p>
          <w:p>
            <w:pPr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005A8E"/>
                <w:sz w:val="20"/>
                <w:szCs w:val="20"/>
              </w:rPr>
              <w:t xml:space="preserve">Integração no Grupo Nordhigiene</w:t>
            </w:r>
          </w:p>
          <w:p>
            <w:r>
              <w:rPr>
                <w:rFonts w:ascii="Arial" w:cs="Arial" w:eastAsia="Arial" w:hAnsi="Arial"/>
                <w:color w:val="555555"/>
                <w:sz w:val="18"/>
                <w:szCs w:val="18"/>
              </w:rPr>
              <w:t xml:space="preserve">Capacidade de resposta abrangente, com apoio de uma estrutura sólida.</w:t>
            </w:r>
          </w:p>
        </w:tc>
      </w:tr>
    </w:tbl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2.4 Áreas de Atuação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Layout: ícones grandes + label. Horizontal. Fundo branco.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48"/>
                <w:szCs w:val="48"/>
              </w:rPr>
              <w:t xml:space="preserve">🏨</w:t>
            </w:r>
          </w:p>
          <w:p>
            <w:pPr>
              <w:spacing w:before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Hospitais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48"/>
                <w:szCs w:val="48"/>
              </w:rPr>
              <w:t xml:space="preserve">🏢</w:t>
            </w:r>
          </w:p>
          <w:p>
            <w:pPr>
              <w:spacing w:before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Cuidados de Saúde Primários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48"/>
                <w:szCs w:val="48"/>
              </w:rPr>
              <w:t xml:space="preserve">🏠</w:t>
            </w:r>
          </w:p>
          <w:p>
            <w:pPr>
              <w:spacing w:before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Lares / ERPI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48"/>
                <w:szCs w:val="48"/>
              </w:rPr>
              <w:t xml:space="preserve">🛏️</w:t>
            </w:r>
          </w:p>
          <w:p>
            <w:pPr>
              <w:spacing w:before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Unidades de Cuidados Continuados</w:t>
            </w:r>
          </w:p>
        </w:tc>
      </w:tr>
    </w:tbl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1"/>
        <w:pBdr>
          <w:bottom w:val="single" w:color="005A8E" w:sz="8" w:space="6"/>
        </w:pBdr>
        <w:spacing w:after="160" w:before="400"/>
      </w:pPr>
      <w:r>
        <w:rPr>
          <w:rFonts w:ascii="Arial" w:cs="Arial" w:eastAsia="Arial" w:hAnsi="Arial"/>
          <w:b/>
          <w:bCs/>
          <w:color w:val="005A8E"/>
          <w:sz w:val="36"/>
          <w:szCs w:val="36"/>
        </w:rPr>
        <w:t xml:space="preserve">3. Quem Somos</w:t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3.1 Missão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Contribuir para a segurança do doente e dos profissionais de saúde através do desenvolvimento e disponibilização de soluções eficazes para o controlo da infeção. A MedNord atua com base no rigor técnico e na evidência científica, apoiando as instituições de saúde na prevenção da infeção associada aos cuidados de saúde, através de produtos e soluções adaptadas às suas necessidades específicas.</w:t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3.2 Visão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Ser uma referência nacional no controlo de infeção em contextos de prestação de cuidados de saúde, reconhecida pela qualidade das soluções, pela proximidade às instituições e pelo contributo para a melhoria contínua das práticas clínicas.</w:t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3.3 Posicionamento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A MedNord posiciona-se como parceiro técnico de confiança das instituições de saúde, com uma abordagem assente no rigor científico e nas necessidades reais das equipas clínicas. Inserida no grupo Nordhigiene, beneficia de uma estrutura sólida que permite oferecer uma resposta integrada, sustentada e adaptada às exigências operacionais de cada contexto.</w:t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3.4 Grupo Nordhigiene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A MedNord integra o Grupo Nordhigiene, uma estrutura com experiência consolidada em soluções de higiene, desinfeção e equipamentos para a saúde.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5A8E"/>
                <w:sz w:val="24"/>
                <w:szCs w:val="24"/>
              </w:rPr>
              <w:t xml:space="preserve">Nordhigiene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Soluções para indústria, serviços e desinfeção profissional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5A8E"/>
                <w:sz w:val="24"/>
                <w:szCs w:val="24"/>
              </w:rPr>
              <w:t xml:space="preserve">Opuscare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Equipamentos e consumíveis para cuidados de saúde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005A8E"/>
                <w:sz w:val="24"/>
                <w:szCs w:val="24"/>
              </w:rPr>
              <w:t xml:space="preserve">MedNord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Controlo de infeção e segurança em contexto clínico</w:t>
            </w:r>
          </w:p>
        </w:tc>
      </w:tr>
    </w:tbl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1"/>
        <w:pBdr>
          <w:bottom w:val="single" w:color="005A8E" w:sz="8" w:space="6"/>
        </w:pBdr>
        <w:spacing w:after="160" w:before="400"/>
      </w:pPr>
      <w:r>
        <w:rPr>
          <w:rFonts w:ascii="Arial" w:cs="Arial" w:eastAsia="Arial" w:hAnsi="Arial"/>
          <w:b/>
          <w:bCs/>
          <w:color w:val="005A8E"/>
          <w:sz w:val="36"/>
          <w:szCs w:val="36"/>
        </w:rPr>
        <w:t xml:space="preserve">4. Soluções e Produtos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Disponibilizamos um conjunto selecionado de produtos e soluções técnicas orientadas para a prevenção e controlo da infeção — com foco na segurança, eficácia e facilidade de integração na prática clínica.</w:t>
      </w:r>
    </w:p>
    <w:p>
      <w:pPr>
        <w:spacing w:after="80" w:before="80"/>
      </w:pPr>
      <w:r>
        <w:t xml:space="preserve"/>
      </w:r>
    </w:p>
    <w:p>
      <w:pPr>
        <w:shd w:fill="005A8E" w:val="clear"/>
        <w:spacing w:after="100" w:before="2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  4.1  Desinfeção e Antissepsia  </w:t>
      </w:r>
    </w:p>
    <w:p>
      <w:pPr>
        <w:spacing w:after="80" w:before="80"/>
      </w:pPr>
      <w:r>
        <w:t xml:space="preserve"/>
      </w:r>
    </w:p>
    <w:p>
      <w:pPr>
        <w:shd w:fill="D0EAF4" w:val="clear"/>
        <w:spacing w:after="60" w:before="160"/>
      </w:pPr>
      <w:r>
        <w:rPr>
          <w:rFonts w:ascii="Arial" w:cs="Arial" w:eastAsia="Arial" w:hAnsi="Arial"/>
          <w:b/>
          <w:bCs/>
          <w:color w:val="005A8E"/>
          <w:sz w:val="26"/>
          <w:szCs w:val="26"/>
        </w:rPr>
        <w:t xml:space="preserve">  Alvatech SP Professional System XL / XXL</w:t>
      </w:r>
    </w:p>
    <w:p>
      <w:pPr>
        <w:spacing w:after="60" w:before="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Toalhetes desinfetantes prontos a utilizar para dispositivos médicos não invasivos. Ação bactericida e leveduricida em apenas 30 segundos. Sistema de extração contínua em rolo — mais prático, mais higiénico, sempre pronto a usar.</w:t>
      </w:r>
    </w:p>
    <w:p>
      <w:pPr>
        <w:spacing w:after="80" w:before="80"/>
      </w:pPr>
      <w:r>
        <w:t xml:space="preserve"/>
      </w:r>
    </w:p>
    <w:p>
      <w:pPr>
        <w:spacing w:after="40" w:before="60"/>
      </w:pPr>
      <w:r>
        <w:rPr>
          <w:rFonts w:ascii="Arial" w:cs="Arial" w:eastAsia="Arial" w:hAnsi="Arial"/>
          <w:b/>
          <w:bCs/>
          <w:color w:val="1A3A4A"/>
          <w:sz w:val="22"/>
          <w:szCs w:val="22"/>
        </w:rPr>
        <w:t xml:space="preserve">Destaques: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Amplo espectro: bactericida, leveduricida, tuberculocida, virucida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Ação em 30 segundos — ideal para desinfeção entre consultas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100% fibra de celulose biodegradável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Certificação MDR (UE) 2017/745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Compatível com aço inox, alumínio, acrílico, PVC, policarbonato e vidro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Não necessita enxaguamento • Secagem rápida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Ideal para: Hospitais, Clínicas, Consultórios, UCCI, ERPI</w:t>
      </w:r>
    </w:p>
    <w:p>
      <w:pPr>
        <w:spacing w:after="80" w:before="80"/>
      </w:pPr>
      <w:r>
        <w:t xml:space="preserve"/>
      </w:r>
    </w:p>
    <w:p>
      <w:pPr>
        <w:shd w:fill="D0EAF4" w:val="clear"/>
        <w:spacing w:after="60" w:before="160"/>
      </w:pPr>
      <w:r>
        <w:rPr>
          <w:rFonts w:ascii="Arial" w:cs="Arial" w:eastAsia="Arial" w:hAnsi="Arial"/>
          <w:b/>
          <w:bCs/>
          <w:color w:val="005A8E"/>
          <w:sz w:val="26"/>
          <w:szCs w:val="26"/>
        </w:rPr>
        <w:t xml:space="preserve">  DY ROLL® PES XXL</w:t>
      </w:r>
    </w:p>
    <w:p>
      <w:pPr>
        <w:spacing w:after="60" w:before="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Sistema completo para preparação de toalhetes desinfetantes em contexto clínico. Compatível com soluções à base de cloro. Extração unitária para menor contaminação cruzada e maior rastreabilidade.</w:t>
      </w:r>
    </w:p>
    <w:p>
      <w:pPr>
        <w:spacing w:after="80" w:before="80"/>
      </w:pPr>
      <w:r>
        <w:t xml:space="preserve"/>
      </w:r>
    </w:p>
    <w:p>
      <w:pPr>
        <w:spacing w:after="40" w:before="60"/>
      </w:pPr>
      <w:r>
        <w:rPr>
          <w:rFonts w:ascii="Arial" w:cs="Arial" w:eastAsia="Arial" w:hAnsi="Arial"/>
          <w:b/>
          <w:bCs/>
          <w:color w:val="1A3A4A"/>
          <w:sz w:val="22"/>
          <w:szCs w:val="22"/>
        </w:rPr>
        <w:t xml:space="preserve">Destaques: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Rolo TNT 100% PES — elevada absorção e resistência mecânica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Dispensador reutilizável incluído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Etiqueta de rastreabilidade (concentração + data de preparação)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Compatível com soluções à base de cloro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300 x 300 mm | Formato V-Fold | 100 unidades por rolo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Validade: 24 meses após fabrico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Ideal para: Hospitais, Blocos Operatórios, UCCI, Clínicas e Laboratórios</w:t>
      </w:r>
    </w:p>
    <w:p>
      <w:pPr>
        <w:spacing w:after="80" w:before="80"/>
      </w:pPr>
      <w:r>
        <w:t xml:space="preserve"/>
      </w:r>
    </w:p>
    <w:p>
      <w:pPr>
        <w:shd w:fill="005A8E" w:val="clear"/>
        <w:spacing w:after="100" w:before="2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  4.2  Proteção Individual  </w:t>
      </w:r>
    </w:p>
    <w:p>
      <w:pPr>
        <w:spacing w:after="80" w:before="80"/>
      </w:pPr>
      <w:r>
        <w:t xml:space="preserve"/>
      </w:r>
    </w:p>
    <w:p>
      <w:pPr>
        <w:shd w:fill="D0EAF4" w:val="clear"/>
        <w:spacing w:after="60" w:before="160"/>
      </w:pPr>
      <w:r>
        <w:rPr>
          <w:rFonts w:ascii="Arial" w:cs="Arial" w:eastAsia="Arial" w:hAnsi="Arial"/>
          <w:b/>
          <w:bCs/>
          <w:color w:val="005A8E"/>
          <w:sz w:val="26"/>
          <w:szCs w:val="26"/>
        </w:rPr>
        <w:t xml:space="preserve">  AFECT COATS® 320 — Luvas de Nitrilo</w:t>
      </w:r>
    </w:p>
    <w:p>
      <w:pPr>
        <w:spacing w:after="60" w:before="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Luvas de nitrilo com proteção avançada da pele, formuladas com aveia coloidal para maior conforto em utilizações prolongadas. Dispensação individual pelo punho para redução da contaminação cruzada.</w:t>
      </w:r>
    </w:p>
    <w:p>
      <w:pPr>
        <w:spacing w:after="80" w:before="80"/>
      </w:pPr>
      <w:r>
        <w:t xml:space="preserve"/>
      </w:r>
    </w:p>
    <w:p>
      <w:pPr>
        <w:spacing w:after="40" w:before="60"/>
      </w:pPr>
      <w:r>
        <w:rPr>
          <w:rFonts w:ascii="Arial" w:cs="Arial" w:eastAsia="Arial" w:hAnsi="Arial"/>
          <w:b/>
          <w:bCs/>
          <w:color w:val="1A3A4A"/>
          <w:sz w:val="22"/>
          <w:szCs w:val="22"/>
        </w:rPr>
        <w:t xml:space="preserve">Destaques: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Nitrilo sem pó — com aveia coloidal para proteção da pele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Dispensação individual pelo punho — menor contaminação cruzada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EPI Categoria III | Dispositivo Médico — MDR (UE) 2017/745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Certificação EN 455 Partes 1, 2, 3 e 4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Disponível: caixa cubo (200 un.) ou caixa retangular (100 un.)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Apto para contacto alimentar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Ideal para: Hospitais, Centros de Saúde, Clínicas, ERPI, Laboratórios, Indústria Alimentar</w:t>
      </w:r>
    </w:p>
    <w:p>
      <w:pPr>
        <w:spacing w:after="80" w:before="80"/>
      </w:pPr>
      <w:r>
        <w:t xml:space="preserve"/>
      </w:r>
    </w:p>
    <w:p>
      <w:pPr>
        <w:shd w:fill="D0EAF4" w:val="clear"/>
        <w:spacing w:after="60" w:before="160"/>
      </w:pPr>
      <w:r>
        <w:rPr>
          <w:rFonts w:ascii="Arial" w:cs="Arial" w:eastAsia="Arial" w:hAnsi="Arial"/>
          <w:b/>
          <w:bCs/>
          <w:color w:val="005A8E"/>
          <w:sz w:val="26"/>
          <w:szCs w:val="26"/>
        </w:rPr>
        <w:t xml:space="preserve">  AFECT® Aventais Descartáveis em Rolo</w:t>
      </w:r>
    </w:p>
    <w:p>
      <w:pPr>
        <w:spacing w:after="60" w:before="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Aventais descartáveis LDPE biodegradável em rolo de 200 unidades. Sistema de dispensação individual para maior higiene, menor desperdício e melhor controlo de consumo.</w:t>
      </w:r>
    </w:p>
    <w:p>
      <w:pPr>
        <w:spacing w:after="80" w:before="80"/>
      </w:pPr>
      <w:r>
        <w:t xml:space="preserve"/>
      </w:r>
    </w:p>
    <w:p>
      <w:pPr>
        <w:spacing w:after="40" w:before="60"/>
      </w:pPr>
      <w:r>
        <w:rPr>
          <w:rFonts w:ascii="Arial" w:cs="Arial" w:eastAsia="Arial" w:hAnsi="Arial"/>
          <w:b/>
          <w:bCs/>
          <w:color w:val="1A3A4A"/>
          <w:sz w:val="22"/>
          <w:szCs w:val="22"/>
        </w:rPr>
        <w:t xml:space="preserve">Destaques: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Material LDPE biodegradável e reciclável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120 x 70 cm | 200 aventais por rolo | Látex free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Extração individual — menor contaminação cruzada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EPI Categoria I | Marcação CE | Declaração UE de conformidade disponível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Espessura: 26 µm | Uso único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Ideal para: Hospitais, Clínicas, ERPI, Indústria Alimentar, Limpeza Profissional</w:t>
      </w:r>
    </w:p>
    <w:p>
      <w:pPr>
        <w:spacing w:after="80" w:before="80"/>
      </w:pPr>
      <w:r>
        <w:t xml:space="preserve"/>
      </w:r>
    </w:p>
    <w:p>
      <w:pPr>
        <w:shd w:fill="005A8E" w:val="clear"/>
        <w:spacing w:after="100" w:before="20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  4.3  Incontinência  </w:t>
      </w:r>
    </w:p>
    <w:p>
      <w:pPr>
        <w:spacing w:after="80" w:before="80"/>
      </w:pPr>
      <w:r>
        <w:t xml:space="preserve"/>
      </w:r>
    </w:p>
    <w:p>
      <w:pPr>
        <w:shd w:fill="D0EAF4" w:val="clear"/>
        <w:spacing w:after="60" w:before="160"/>
      </w:pPr>
      <w:r>
        <w:rPr>
          <w:rFonts w:ascii="Arial" w:cs="Arial" w:eastAsia="Arial" w:hAnsi="Arial"/>
          <w:b/>
          <w:bCs/>
          <w:color w:val="005A8E"/>
          <w:sz w:val="26"/>
          <w:szCs w:val="26"/>
        </w:rPr>
        <w:t xml:space="preserve">  Fralda ID — Gama Premium</w:t>
      </w:r>
    </w:p>
    <w:p>
      <w:pPr>
        <w:spacing w:after="60" w:before="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A gama ID Premium foi desenvolvida para responder às necessidades de proteção em contextos de cuidados continuados e estruturas residenciais, com diferentes níveis de absorção para uma adequação precisa a cada situação clínica.</w:t>
      </w:r>
    </w:p>
    <w:p>
      <w:pPr>
        <w:spacing w:after="80" w:before="80"/>
      </w:pPr>
      <w:r>
        <w:t xml:space="preserve"/>
      </w:r>
    </w:p>
    <w:p>
      <w:pPr>
        <w:spacing w:after="40" w:before="60"/>
      </w:pPr>
      <w:r>
        <w:rPr>
          <w:rFonts w:ascii="Arial" w:cs="Arial" w:eastAsia="Arial" w:hAnsi="Arial"/>
          <w:b/>
          <w:bCs/>
          <w:color w:val="1A3A4A"/>
          <w:sz w:val="22"/>
          <w:szCs w:val="22"/>
        </w:rPr>
        <w:t xml:space="preserve">Destaques: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Gama Premium com múltiplos níveis de absorção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Adequada a diferentes graus de incontinência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Conforto e segurança para o utente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Solução de referência para ERPI, UCCI e cuidados domiciliários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Fale connosco para identificar o nível de absorção mais adequado ao seu contexto.</w:t>
      </w:r>
    </w:p>
    <w:p>
      <w:pPr>
        <w:spacing w:after="80" w:before="80"/>
      </w:pPr>
      <w:r>
        <w:t xml:space="preserve"/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1"/>
        <w:pBdr>
          <w:bottom w:val="single" w:color="005A8E" w:sz="8" w:space="6"/>
        </w:pBdr>
        <w:spacing w:after="160" w:before="400"/>
      </w:pPr>
      <w:r>
        <w:rPr>
          <w:rFonts w:ascii="Arial" w:cs="Arial" w:eastAsia="Arial" w:hAnsi="Arial"/>
          <w:b/>
          <w:bCs/>
          <w:color w:val="005A8E"/>
          <w:sz w:val="36"/>
          <w:szCs w:val="36"/>
        </w:rPr>
        <w:t xml:space="preserve">5. Conteúdos Técnicos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A MedNord acompanha e promove as boas práticas no controlo de infeção, com base em recomendações de entidades nacionais e internacionais de referência. Partilhamos conteúdos técnicos relevantes para apoiar as equipas clínicas no seu dia a dia.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Layout sugerido: cards com título + breve descrição + botão 'Consultar documento'. Ligação a fontes DGS / PPCIRA.</w:t>
      </w:r>
    </w:p>
    <w:p>
      <w:pPr>
        <w:spacing w:after="80" w:before="80"/>
      </w:pPr>
      <w:r>
        <w:t xml:space="preserve"/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00A3C4"/>
          <w:sz w:val="24"/>
          <w:szCs w:val="24"/>
        </w:rPr>
        <w:t xml:space="preserve">A. Higiene das mãos em unidades de saúde</w:t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Fonte: DGS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A higiene das mãos é uma das intervenções mais eficazes na prevenção da infeção associada aos cuidados de saúde. As orientações da DGS definem os momentos críticos e as técnicas recomendadas para garantir a sua eficácia em contexto clínico.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→ Consultar orientações DGS</w:t>
      </w:r>
    </w:p>
    <w:p>
      <w:pPr>
        <w:spacing w:after="80" w:before="80"/>
      </w:pPr>
      <w:r>
        <w:t xml:space="preserve"/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00A3C4"/>
          <w:sz w:val="24"/>
          <w:szCs w:val="24"/>
        </w:rPr>
        <w:t xml:space="preserve">B. Prevenção da IACS</w:t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Fonte: PPCIRA / DGS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As infeções associadas aos cuidados de saúde constituem um dos principais desafios das instituições. As recomendações nacionais definem estratégias integradas de prevenção, incluindo higiene, desinfeção e utilização de dispositivos médicos.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→ Consultar documento oficial</w:t>
      </w:r>
    </w:p>
    <w:p>
      <w:pPr>
        <w:spacing w:after="80" w:before="80"/>
      </w:pPr>
      <w:r>
        <w:t xml:space="preserve"/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00A3C4"/>
          <w:sz w:val="24"/>
          <w:szCs w:val="24"/>
        </w:rPr>
        <w:t xml:space="preserve">C. Limpeza e desinfeção de superfícies em ambiente clínico</w:t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Fonte: DGS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A correta desinfeção de superfícies reduz significativamente o risco de transmissão de microrganismos. As orientações definem procedimentos, frequência e critérios de seleção de produtos desinfetantes.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→ Consultar orientações DGS</w:t>
      </w:r>
    </w:p>
    <w:p>
      <w:pPr>
        <w:spacing w:after="80" w:before="80"/>
      </w:pPr>
      <w:r>
        <w:t xml:space="preserve"/>
      </w:r>
    </w:p>
    <w:p>
      <w:pPr>
        <w:spacing w:after="80" w:before="240"/>
      </w:pPr>
      <w:r>
        <w:rPr>
          <w:rFonts w:ascii="Arial" w:cs="Arial" w:eastAsia="Arial" w:hAnsi="Arial"/>
          <w:b/>
          <w:bCs/>
          <w:color w:val="00A3C4"/>
          <w:sz w:val="24"/>
          <w:szCs w:val="24"/>
        </w:rPr>
        <w:t xml:space="preserve">D. Utilização de EPI</w:t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666666"/>
          <w:sz w:val="20"/>
          <w:szCs w:val="20"/>
        </w:rPr>
        <w:t xml:space="preserve">Fonte: DGS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Os equipamentos de proteção individual são essenciais na proteção dos profissionais e na prevenção da transmissão de infeção. As recomendações da DGS abordam seleção, colocação e remoção corretas.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color w:val="333333"/>
          <w:sz w:val="22"/>
          <w:szCs w:val="22"/>
        </w:rPr>
        <w:t xml:space="preserve">→ Consultar documento oficial</w:t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1"/>
        <w:pBdr>
          <w:bottom w:val="single" w:color="005A8E" w:sz="8" w:space="6"/>
        </w:pBdr>
        <w:spacing w:after="160" w:before="400"/>
      </w:pPr>
      <w:r>
        <w:rPr>
          <w:rFonts w:ascii="Arial" w:cs="Arial" w:eastAsia="Arial" w:hAnsi="Arial"/>
          <w:b/>
          <w:bCs/>
          <w:color w:val="005A8E"/>
          <w:sz w:val="36"/>
          <w:szCs w:val="36"/>
        </w:rPr>
        <w:t xml:space="preserve">6. Contactos</w:t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Headline da página</w:t>
      </w:r>
    </w:p>
    <w:p>
      <w:pPr>
        <w:shd w:fill="E8F4F8" w:val="clear"/>
        <w:spacing w:after="80" w:before="80"/>
      </w:pPr>
      <w:r>
        <w:rPr>
          <w:rFonts w:ascii="Arial" w:cs="Arial" w:eastAsia="Arial" w:hAnsi="Arial"/>
          <w:b/>
          <w:bCs/>
          <w:color w:val="005A8E"/>
          <w:sz w:val="26"/>
          <w:szCs w:val="26"/>
        </w:rPr>
        <w:t xml:space="preserve">Fale connosco. Encontramos a solução certa para a sua instituição.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Formulário de Contacto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Campos: Nome | Instituição | Email | Tipo de pedido (dropdown) | Mensagem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Nome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Campo de texto livre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Instituição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Campo de texto livre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Email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Campo de email com validação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Tipo de pedido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Dropdown: Informação sobre produtos / Orçamento / Parceria / Outro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Mensagem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555555"/>
                <w:sz w:val="20"/>
                <w:szCs w:val="20"/>
              </w:rPr>
              <w:t xml:space="preserve">Textarea — mínimo 3 linhas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Style w:val="Heading2"/>
        <w:spacing w:after="120" w:before="320"/>
      </w:pPr>
      <w:r>
        <w:rPr>
          <w:rFonts w:ascii="Arial" w:cs="Arial" w:eastAsia="Arial" w:hAnsi="Arial"/>
          <w:b/>
          <w:bCs/>
          <w:color w:val="1A3A4A"/>
          <w:sz w:val="28"/>
          <w:szCs w:val="28"/>
        </w:rPr>
        <w:t xml:space="preserve">Contactos Diretos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36"/>
                <w:szCs w:val="36"/>
              </w:rPr>
              <w:t xml:space="preserve">📞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5A8E"/>
                <w:sz w:val="20"/>
                <w:szCs w:val="20"/>
              </w:rPr>
              <w:t xml:space="preserve">Telefone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666666"/>
                <w:sz w:val="18"/>
                <w:szCs w:val="18"/>
              </w:rPr>
              <w:t xml:space="preserve">A preencher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36"/>
                <w:szCs w:val="36"/>
              </w:rPr>
              <w:t xml:space="preserve">📧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5A8E"/>
                <w:sz w:val="20"/>
                <w:szCs w:val="20"/>
              </w:rPr>
              <w:t xml:space="preserve">Email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666666"/>
                <w:sz w:val="18"/>
                <w:szCs w:val="18"/>
              </w:rPr>
              <w:t xml:space="preserve">A preencher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36"/>
                <w:szCs w:val="36"/>
              </w:rPr>
              <w:t xml:space="preserve">💬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5A8E"/>
                <w:sz w:val="20"/>
                <w:szCs w:val="20"/>
              </w:rPr>
              <w:t xml:space="preserve">WhatsApp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666666"/>
                <w:sz w:val="18"/>
                <w:szCs w:val="18"/>
              </w:rPr>
              <w:t xml:space="preserve">Link direto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 w:val="clear"/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36"/>
                <w:szCs w:val="36"/>
              </w:rPr>
              <w:t xml:space="preserve">📍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5A8E"/>
                <w:sz w:val="20"/>
                <w:szCs w:val="20"/>
              </w:rPr>
              <w:t xml:space="preserve">Localização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666666"/>
                <w:sz w:val="18"/>
                <w:szCs w:val="18"/>
              </w:rPr>
              <w:t xml:space="preserve">A preencher</w:t>
            </w:r>
          </w:p>
        </w:tc>
      </w:tr>
    </w:tbl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pStyle w:val="Heading1"/>
        <w:pBdr>
          <w:bottom w:val="single" w:color="005A8E" w:sz="8" w:space="6"/>
        </w:pBdr>
        <w:spacing w:after="160" w:before="400"/>
      </w:pPr>
      <w:r>
        <w:rPr>
          <w:rFonts w:ascii="Arial" w:cs="Arial" w:eastAsia="Arial" w:hAnsi="Arial"/>
          <w:b/>
          <w:bCs/>
          <w:color w:val="005A8E"/>
          <w:sz w:val="36"/>
          <w:szCs w:val="36"/>
        </w:rPr>
        <w:t xml:space="preserve">7. Notas para Desenvolvimento</w:t>
      </w:r>
    </w:p>
    <w:p>
      <w:pPr>
        <w:pBdr>
          <w:left w:val="single" w:color="00A3C4" w:sz="12" w:space="6"/>
        </w:pBdr>
        <w:shd w:fill="E8F4F8" w:val="clear"/>
        <w:spacing w:after="80" w:before="80"/>
        <w:ind w:left="36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Esta secção é de uso interno — não vai para o site.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Plataforma sugerida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Framer (templates recomendados: Agape, Studio UX, HealthWell)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Links Framer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framer.com/marketplace/templates/agape/ | studio-ux/ | healthwell/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Paleta de cores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Azul primário #005A8E | Azul claro #00A3C4 | Branco | Cinza claro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Tipografia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Sans-serif clean — Inter, DM Sans ou similar ao logo MedNord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Tom de comunicação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Técnico, institucional, B2B — sem linguagem de clínica/paciente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SEO básico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Meta title e description por página | Alt text em todas as imagens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Mobile first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Layout responsivo desde o início — menu hamburger no mobile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Escalabilidade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Produtos devem ser fáceis de adicionar (CMS nativo do Framer)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CTAs fixos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Botão 'Pedir informação' sempre visível no header ou flutuante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Formulário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Ligação a email direto ou integração com ferramenta de CRM/email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Categoria 3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Reservada para futura expansão — não publicar até haver produtos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Idiomas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Lançar em PT-PT | Avaliar EN numa segunda fase para mercado europeu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0EA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3A4A"/>
                <w:sz w:val="20"/>
                <w:szCs w:val="20"/>
              </w:rPr>
              <w:t xml:space="preserve">Analytics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444444"/>
                <w:sz w:val="20"/>
                <w:szCs w:val="20"/>
              </w:rPr>
              <w:t xml:space="preserve">Instalar Google Analytics 4 + Google Tag Manager desde o início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Bdr>
          <w:bottom w:val="single" w:color="CCCCCC" w:sz="4" w:space="1"/>
        </w:pBdr>
        <w:spacing w:after="160" w:before="160"/>
      </w:pPr>
      <w:r>
        <w:t xml:space="preserve"/>
      </w:r>
    </w:p>
    <w:p>
      <w:pPr>
        <w:spacing w:after="80" w:before="160"/>
        <w:jc w:val="center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MedNord — Documento de Copy e Estrutura do Website</w:t>
      </w:r>
    </w:p>
    <w:p>
      <w:pPr>
        <w:jc w:val="center"/>
      </w:pPr>
      <w:r>
        <w:rPr>
          <w:rFonts w:ascii="Arial" w:cs="Arial" w:eastAsia="Arial" w:hAnsi="Arial"/>
          <w:color w:val="AAAAAA"/>
          <w:sz w:val="16"/>
          <w:szCs w:val="16"/>
        </w:rPr>
        <w:t xml:space="preserve">Elaborado por Rafael Alexandre | rafalexandre.com.br | Pontíz Marketing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400"/>
      <w:outlineLvl w:val="0"/>
    </w:pPr>
    <w:rPr>
      <w:rFonts w:ascii="Arial" w:cs="Arial" w:eastAsia="Arial" w:hAnsi="Arial"/>
      <w:b/>
      <w:bCs/>
      <w:color w:val="005A8E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320"/>
      <w:outlineLvl w:val="1"/>
    </w:pPr>
    <w:rPr>
      <w:rFonts w:ascii="Arial" w:cs="Arial" w:eastAsia="Arial" w:hAnsi="Arial"/>
      <w:b/>
      <w:bCs/>
      <w:color w:val="1A3A4A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2026-06-11T18:05:52.480Z</dcterms:created>
  <dcterms:modified xsi:type="dcterms:W3CDTF">2026-06-11T18:05:52.480Z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